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jc w:val="center"/>
        <w:rPr>
          <w:b w:val="1"/>
          <w:bCs w:val="1"/>
          <w:sz w:val="28"/>
          <w:szCs w:val="28"/>
        </w:rPr>
      </w:pPr>
      <w:r>
        <w:drawing>
          <wp:anchor distT="0" distB="0" distL="0" distR="0" simplePos="0" relativeHeight="251660288" behindDoc="0" locked="0" layoutInCell="1" allowOverlap="1">
            <wp:simplePos x="0" y="0"/>
            <wp:positionH relativeFrom="column">
              <wp:posOffset>66039</wp:posOffset>
            </wp:positionH>
            <wp:positionV relativeFrom="line">
              <wp:posOffset>-143509</wp:posOffset>
            </wp:positionV>
            <wp:extent cx="798831" cy="11620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798831" cy="1162050"/>
                    </a:xfrm>
                    <a:prstGeom prst="rect">
                      <a:avLst/>
                    </a:prstGeom>
                    <a:ln w="12700" cap="flat">
                      <a:noFill/>
                      <a:miter lim="400000"/>
                    </a:ln>
                    <a:effectLst/>
                  </pic:spPr>
                </pic:pic>
              </a:graphicData>
            </a:graphic>
          </wp:anchor>
        </w:drawing>
      </w:r>
      <w:r>
        <w:rPr>
          <w:b w:val="1"/>
          <w:bCs w:val="1"/>
          <w:sz w:val="28"/>
          <w:szCs w:val="28"/>
        </w:rPr>
        <mc:AlternateContent>
          <mc:Choice Requires="wps">
            <w:drawing>
              <wp:anchor distT="0" distB="0" distL="0" distR="0" simplePos="0" relativeHeight="251656192" behindDoc="1" locked="0" layoutInCell="1" allowOverlap="1">
                <wp:simplePos x="0" y="0"/>
                <wp:positionH relativeFrom="column">
                  <wp:posOffset>5501639</wp:posOffset>
                </wp:positionH>
                <wp:positionV relativeFrom="line">
                  <wp:posOffset>27940</wp:posOffset>
                </wp:positionV>
                <wp:extent cx="1375411" cy="76962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375411" cy="769620"/>
                        </a:xfrm>
                        <a:prstGeom prst="rect">
                          <a:avLst/>
                        </a:prstGeom>
                        <a:solidFill>
                          <a:srgbClr val="FFFFFF"/>
                        </a:solidFill>
                        <a:ln w="12700" cap="flat">
                          <a:noFill/>
                          <a:miter lim="400000"/>
                        </a:ln>
                        <a:effectLst/>
                      </wps:spPr>
                      <wps:txbx>
                        <w:txbxContent>
                          <w:p>
                            <w:pPr>
                              <w:pStyle w:val="Default"/>
                              <w:jc w:val="right"/>
                              <w:rPr>
                                <w:sz w:val="18"/>
                                <w:szCs w:val="18"/>
                              </w:rPr>
                            </w:pPr>
                            <w:r>
                              <w:rPr>
                                <w:sz w:val="18"/>
                                <w:szCs w:val="18"/>
                                <w:rtl w:val="0"/>
                                <w:lang w:val="en-US"/>
                              </w:rPr>
                              <w:t>DR-501DV</w:t>
                            </w:r>
                          </w:p>
                          <w:p>
                            <w:pPr>
                              <w:pStyle w:val="Default"/>
                              <w:jc w:val="right"/>
                              <w:rPr>
                                <w:sz w:val="18"/>
                                <w:szCs w:val="18"/>
                              </w:rPr>
                            </w:pPr>
                            <w:r>
                              <w:rPr>
                                <w:sz w:val="18"/>
                                <w:szCs w:val="18"/>
                                <w:rtl w:val="0"/>
                                <w:lang w:val="en-US"/>
                              </w:rPr>
                              <w:t>R. 12/12</w:t>
                            </w:r>
                          </w:p>
                          <w:p>
                            <w:pPr>
                              <w:pStyle w:val="Default"/>
                              <w:jc w:val="right"/>
                              <w:rPr>
                                <w:sz w:val="16"/>
                                <w:szCs w:val="16"/>
                              </w:rPr>
                            </w:pPr>
                            <w:r>
                              <w:rPr>
                                <w:sz w:val="16"/>
                                <w:szCs w:val="16"/>
                                <w:rtl w:val="0"/>
                                <w:lang w:val="en-US"/>
                              </w:rPr>
                              <w:t>Rule 12D-16.002, F.A.C.</w:t>
                            </w:r>
                          </w:p>
                          <w:p>
                            <w:pPr>
                              <w:pStyle w:val="Normal,procedures"/>
                              <w:jc w:val="right"/>
                              <w:rPr>
                                <w:rFonts w:ascii="Arial Narrow" w:cs="Arial Narrow" w:hAnsi="Arial Narrow" w:eastAsia="Arial Narrow"/>
                                <w:sz w:val="18"/>
                                <w:szCs w:val="18"/>
                              </w:rPr>
                            </w:pPr>
                            <w:r>
                              <w:rPr>
                                <w:rFonts w:ascii="Arial Narrow" w:hAnsi="Arial Narrow"/>
                                <w:sz w:val="18"/>
                                <w:szCs w:val="18"/>
                                <w:rtl w:val="0"/>
                                <w:lang w:val="en-US"/>
                              </w:rPr>
                              <w:t>Eff. 12/12</w:t>
                            </w:r>
                          </w:p>
                          <w:p>
                            <w:pPr>
                              <w:pStyle w:val="Normal,procedures"/>
                              <w:jc w:val="right"/>
                            </w:pPr>
                            <w:r>
                              <w:rPr>
                                <w:rFonts w:ascii="Arial Narrow" w:hAnsi="Arial Narrow"/>
                                <w:sz w:val="18"/>
                                <w:szCs w:val="18"/>
                                <w:rtl w:val="0"/>
                                <w:lang w:val="en-US"/>
                              </w:rPr>
                              <w:t>Provisional</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33.2pt;margin-top:2.2pt;width:108.3pt;height:60.6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rPr>
                      </w:pPr>
                      <w:r>
                        <w:rPr>
                          <w:sz w:val="18"/>
                          <w:szCs w:val="18"/>
                          <w:rtl w:val="0"/>
                          <w:lang w:val="en-US"/>
                        </w:rPr>
                        <w:t>DR-501DV</w:t>
                      </w:r>
                    </w:p>
                    <w:p>
                      <w:pPr>
                        <w:pStyle w:val="Default"/>
                        <w:jc w:val="right"/>
                        <w:rPr>
                          <w:sz w:val="18"/>
                          <w:szCs w:val="18"/>
                        </w:rPr>
                      </w:pPr>
                      <w:r>
                        <w:rPr>
                          <w:sz w:val="18"/>
                          <w:szCs w:val="18"/>
                          <w:rtl w:val="0"/>
                          <w:lang w:val="en-US"/>
                        </w:rPr>
                        <w:t>R. 12/12</w:t>
                      </w:r>
                    </w:p>
                    <w:p>
                      <w:pPr>
                        <w:pStyle w:val="Default"/>
                        <w:jc w:val="right"/>
                        <w:rPr>
                          <w:sz w:val="16"/>
                          <w:szCs w:val="16"/>
                        </w:rPr>
                      </w:pPr>
                      <w:r>
                        <w:rPr>
                          <w:sz w:val="16"/>
                          <w:szCs w:val="16"/>
                          <w:rtl w:val="0"/>
                          <w:lang w:val="en-US"/>
                        </w:rPr>
                        <w:t>Rule 12D-16.002, F.A.C.</w:t>
                      </w:r>
                    </w:p>
                    <w:p>
                      <w:pPr>
                        <w:pStyle w:val="Normal,procedures"/>
                        <w:jc w:val="right"/>
                        <w:rPr>
                          <w:rFonts w:ascii="Arial Narrow" w:cs="Arial Narrow" w:hAnsi="Arial Narrow" w:eastAsia="Arial Narrow"/>
                          <w:sz w:val="18"/>
                          <w:szCs w:val="18"/>
                        </w:rPr>
                      </w:pPr>
                      <w:r>
                        <w:rPr>
                          <w:rFonts w:ascii="Arial Narrow" w:hAnsi="Arial Narrow"/>
                          <w:sz w:val="18"/>
                          <w:szCs w:val="18"/>
                          <w:rtl w:val="0"/>
                          <w:lang w:val="en-US"/>
                        </w:rPr>
                        <w:t>Eff. 12/12</w:t>
                      </w:r>
                    </w:p>
                    <w:p>
                      <w:pPr>
                        <w:pStyle w:val="Normal,procedures"/>
                        <w:jc w:val="right"/>
                      </w:pPr>
                      <w:r>
                        <w:rPr>
                          <w:rFonts w:ascii="Arial Narrow" w:hAnsi="Arial Narrow"/>
                          <w:sz w:val="18"/>
                          <w:szCs w:val="18"/>
                          <w:rtl w:val="0"/>
                          <w:lang w:val="en-US"/>
                        </w:rPr>
                        <w:t>Provisional</w:t>
                      </w:r>
                    </w:p>
                  </w:txbxContent>
                </v:textbox>
                <w10:wrap type="none" side="bothSides" anchorx="text"/>
              </v:shape>
            </w:pict>
          </mc:Fallback>
        </mc:AlternateContent>
      </w:r>
      <w:r>
        <w:rPr>
          <w:b w:val="1"/>
          <w:bCs w:val="1"/>
          <w:sz w:val="28"/>
          <w:szCs w:val="28"/>
          <w:rtl w:val="0"/>
          <w:lang w:val="en-US"/>
        </w:rPr>
        <w:t>APPLICATION FOR HOMESTEAD TAX DISCOUNT</w:t>
      </w:r>
    </w:p>
    <w:p>
      <w:pPr>
        <w:pStyle w:val="Normal,procedures"/>
        <w:rPr>
          <w:color w:val="000000"/>
          <w:sz w:val="24"/>
          <w:szCs w:val="24"/>
          <w:u w:color="000000"/>
        </w:rPr>
      </w:pPr>
      <w:r>
        <w:rPr>
          <w:color w:val="000000"/>
          <w:sz w:val="24"/>
          <w:szCs w:val="24"/>
          <w:u w:color="000000"/>
          <w:rtl w:val="0"/>
          <w:lang w:val="en-US"/>
        </w:rPr>
        <w:t xml:space="preserve"> </w:t>
      </w:r>
    </w:p>
    <w:p>
      <w:pPr>
        <w:pStyle w:val="Normal,procedures"/>
        <w:jc w:val="center"/>
        <w:rPr>
          <w:b w:val="1"/>
          <w:bCs w:val="1"/>
          <w:color w:val="000000"/>
          <w:sz w:val="28"/>
          <w:szCs w:val="28"/>
          <w:u w:color="000000"/>
        </w:rPr>
      </w:pPr>
      <w:r>
        <w:rPr>
          <w:b w:val="1"/>
          <w:bCs w:val="1"/>
          <w:color w:val="000000"/>
          <w:sz w:val="28"/>
          <w:szCs w:val="28"/>
          <w:u w:color="000000"/>
          <w:rtl w:val="0"/>
          <w:lang w:val="en-US"/>
        </w:rPr>
        <w:t xml:space="preserve">Veterans Age 65 and Older </w:t>
      </w:r>
    </w:p>
    <w:p>
      <w:pPr>
        <w:pStyle w:val="Normal,procedures"/>
        <w:jc w:val="center"/>
        <w:rPr>
          <w:color w:val="000000"/>
          <w:sz w:val="28"/>
          <w:szCs w:val="28"/>
          <w:u w:color="000000"/>
        </w:rPr>
      </w:pPr>
      <w:r>
        <w:rPr>
          <w:b w:val="1"/>
          <w:bCs w:val="1"/>
          <w:color w:val="000000"/>
          <w:sz w:val="28"/>
          <w:szCs w:val="28"/>
          <w:u w:color="000000"/>
          <w:rtl w:val="0"/>
          <w:lang w:val="en-US"/>
        </w:rPr>
        <w:t>with a Combat-Related Disability</w:t>
      </w:r>
    </w:p>
    <w:p>
      <w:pPr>
        <w:pStyle w:val="Normal,procedures"/>
        <w:tabs>
          <w:tab w:val="center" w:pos="5016"/>
          <w:tab w:val="right" w:pos="10773"/>
        </w:tabs>
        <w:jc w:val="center"/>
        <w:rPr>
          <w:color w:val="000000"/>
          <w:sz w:val="20"/>
          <w:szCs w:val="20"/>
          <w:u w:color="000000"/>
        </w:rPr>
      </w:pPr>
      <w:r>
        <w:rPr>
          <w:color w:val="000000"/>
          <w:sz w:val="20"/>
          <w:szCs w:val="20"/>
          <w:u w:color="000000"/>
          <w:rtl w:val="0"/>
          <w:lang w:val="en-US"/>
        </w:rPr>
        <w:t>Section 196.082, Florida Statutes</w:t>
      </w:r>
    </w:p>
    <w:p>
      <w:pPr>
        <w:pStyle w:val="Normal,procedures"/>
        <w:tabs>
          <w:tab w:val="center" w:pos="5016"/>
          <w:tab w:val="right" w:pos="10773"/>
        </w:tabs>
        <w:jc w:val="center"/>
      </w:pPr>
    </w:p>
    <w:p>
      <w:pPr>
        <w:pStyle w:val="Normal,procedures"/>
        <w:rPr>
          <w:color w:val="000000"/>
          <w:sz w:val="24"/>
          <w:szCs w:val="24"/>
          <w:u w:color="000000"/>
        </w:rPr>
      </w:pPr>
    </w:p>
    <w:tbl>
      <w:tblPr>
        <w:tblW w:w="928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3"/>
        <w:gridCol w:w="1026"/>
        <w:gridCol w:w="1025"/>
      </w:tblGrid>
      <w:tr>
        <w:tblPrEx>
          <w:shd w:val="clear" w:color="auto" w:fill="ced7e7"/>
        </w:tblPrEx>
        <w:trPr>
          <w:trHeight w:val="248" w:hRule="atLeast"/>
        </w:trPr>
        <w:tc>
          <w:tcPr>
            <w:tcW w:type="dxa" w:w="723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2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procedures"/>
              <w:jc w:val="center"/>
            </w:pPr>
            <w:r>
              <w:rPr>
                <w:rtl w:val="0"/>
                <w:lang w:val="en-US"/>
              </w:rPr>
              <w:t>Yes</w:t>
            </w:r>
          </w:p>
        </w:tc>
        <w:tc>
          <w:tcPr>
            <w:tcW w:type="dxa" w:w="102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jc w:val="center"/>
            </w:pPr>
            <w:r>
              <w:rPr>
                <w:rtl w:val="0"/>
                <w:lang w:val="en-US"/>
              </w:rPr>
              <w:t>No</w:t>
            </w:r>
          </w:p>
        </w:tc>
      </w:tr>
      <w:tr>
        <w:tblPrEx>
          <w:shd w:val="clear" w:color="auto" w:fill="ced7e7"/>
        </w:tblPrEx>
        <w:trPr>
          <w:trHeight w:val="243" w:hRule="atLeast"/>
        </w:trPr>
        <w:tc>
          <w:tcPr>
            <w:tcW w:type="dxa" w:w="723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procedures"/>
              <w:numPr>
                <w:ilvl w:val="0"/>
                <w:numId w:val="1"/>
              </w:numPr>
              <w:rPr>
                <w:lang w:val="en-US"/>
              </w:rPr>
            </w:pPr>
            <w:r>
              <w:rPr>
                <w:rtl w:val="0"/>
                <w:lang w:val="en-US"/>
              </w:rPr>
              <w:t>Were you honorably discharged from military service?*</w:t>
            </w:r>
          </w:p>
        </w:tc>
        <w:tc>
          <w:tcPr>
            <w:tcW w:type="dxa" w:w="102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2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43" w:hRule="atLeast"/>
        </w:trPr>
        <w:tc>
          <w:tcPr>
            <w:tcW w:type="dxa" w:w="723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procedures"/>
              <w:numPr>
                <w:ilvl w:val="0"/>
                <w:numId w:val="2"/>
              </w:numPr>
              <w:rPr>
                <w:lang w:val="en-US"/>
              </w:rPr>
            </w:pPr>
            <w:r>
              <w:rPr>
                <w:rtl w:val="0"/>
                <w:lang w:val="en-US"/>
              </w:rPr>
              <w:t>Is a portion of your service-connected disability combat related?*</w:t>
            </w:r>
          </w:p>
        </w:tc>
        <w:tc>
          <w:tcPr>
            <w:tcW w:type="dxa" w:w="102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2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43" w:hRule="atLeast"/>
        </w:trPr>
        <w:tc>
          <w:tcPr>
            <w:tcW w:type="dxa" w:w="723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procedures"/>
              <w:numPr>
                <w:ilvl w:val="0"/>
                <w:numId w:val="3"/>
              </w:numPr>
              <w:rPr>
                <w:lang w:val="en-US"/>
              </w:rPr>
            </w:pPr>
            <w:r>
              <w:rPr>
                <w:rtl w:val="0"/>
                <w:lang w:val="en-US"/>
              </w:rPr>
              <w:t>Do you currently have a homestead exemption in this county?*</w:t>
            </w:r>
          </w:p>
        </w:tc>
        <w:tc>
          <w:tcPr>
            <w:tcW w:type="dxa" w:w="102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2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43" w:hRule="atLeast"/>
        </w:trPr>
        <w:tc>
          <w:tcPr>
            <w:tcW w:type="dxa" w:w="723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procedures"/>
              <w:ind w:firstLine="215"/>
            </w:pPr>
            <w:r>
              <w:rPr>
                <w:rtl w:val="0"/>
                <w:lang w:val="en-US"/>
              </w:rPr>
              <w:t>If not, have you applied for homestead exemption?</w:t>
            </w:r>
          </w:p>
        </w:tc>
        <w:tc>
          <w:tcPr>
            <w:tcW w:type="dxa" w:w="102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2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procedures"/>
        <w:widowControl w:val="0"/>
        <w:jc w:val="center"/>
        <w:rPr>
          <w:color w:val="000000"/>
          <w:sz w:val="24"/>
          <w:szCs w:val="24"/>
          <w:u w:color="000000"/>
        </w:rPr>
      </w:pPr>
    </w:p>
    <w:p>
      <w:pPr>
        <w:pStyle w:val="Normal,procedures"/>
        <w:tabs>
          <w:tab w:val="right" w:pos="10773"/>
        </w:tabs>
        <w:spacing w:before="180"/>
        <w:rPr>
          <w:color w:val="000000"/>
          <w:u w:color="000000"/>
        </w:rPr>
      </w:pPr>
      <w:r>
        <w:rPr>
          <w:color w:val="000000"/>
          <w:u w:color="000000"/>
        </w:rPr>
        <mc:AlternateContent>
          <mc:Choice Requires="wps">
            <w:drawing>
              <wp:anchor distT="0" distB="0" distL="0" distR="0" simplePos="0" relativeHeight="251657216" behindDoc="1" locked="0" layoutInCell="1" allowOverlap="1">
                <wp:simplePos x="0" y="0"/>
                <wp:positionH relativeFrom="column">
                  <wp:posOffset>2923540</wp:posOffset>
                </wp:positionH>
                <wp:positionV relativeFrom="line">
                  <wp:posOffset>24130</wp:posOffset>
                </wp:positionV>
                <wp:extent cx="394335" cy="3429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394335" cy="34290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5501" y="0"/>
                              </a:moveTo>
                              <a:lnTo>
                                <a:pt x="0" y="6326"/>
                              </a:lnTo>
                              <a:lnTo>
                                <a:pt x="0" y="15274"/>
                              </a:lnTo>
                              <a:lnTo>
                                <a:pt x="5501" y="21600"/>
                              </a:lnTo>
                              <a:lnTo>
                                <a:pt x="16099" y="21600"/>
                              </a:lnTo>
                              <a:lnTo>
                                <a:pt x="21600" y="15274"/>
                              </a:lnTo>
                              <a:lnTo>
                                <a:pt x="21600" y="6326"/>
                              </a:lnTo>
                              <a:lnTo>
                                <a:pt x="16099" y="0"/>
                              </a:lnTo>
                              <a:close/>
                            </a:path>
                          </a:pathLst>
                        </a:custGeom>
                        <a:solidFill>
                          <a:srgbClr val="FF0000"/>
                        </a:solidFill>
                        <a:ln w="9525" cap="flat">
                          <a:solidFill>
                            <a:srgbClr val="FF0000"/>
                          </a:solidFill>
                          <a:prstDash val="solid"/>
                          <a:round/>
                        </a:ln>
                        <a:effectLst/>
                      </wps:spPr>
                      <wps:bodyPr/>
                    </wps:wsp>
                  </a:graphicData>
                </a:graphic>
              </wp:anchor>
            </w:drawing>
          </mc:Choice>
          <mc:Fallback>
            <w:pict>
              <v:shape id="_x0000_s1027" style="visibility:visible;position:absolute;margin-left:230.2pt;margin-top:1.9pt;width:31.0pt;height:27.0pt;z-index:-251659264;mso-position-horizontal:absolute;mso-position-horizontal-relative:text;mso-position-vertical:absolute;mso-position-vertical-relative:line;mso-wrap-distance-left:0.0pt;mso-wrap-distance-top:0.0pt;mso-wrap-distance-right:0.0pt;mso-wrap-distance-bottom:0.0pt;" coordorigin="0,0" coordsize="21600,21600" path="M 5501,0 L 0,6326 L 0,15274 L 5501,21600 L 16099,21600 L 21600,15274 L 21600,6326 L 16099,0 X E">
                <v:fill color="#FF0000" opacity="100.0%" type="solid"/>
                <v:stroke filltype="solid" color="#FF0000" opacity="100.0%" weight="0.8pt" dashstyle="solid" endcap="flat" joinstyle="round" linestyle="single" startarrow="none" startarrowwidth="medium" startarrowlength="medium" endarrow="none" endarrowwidth="medium" endarrowlength="medium"/>
                <w10:wrap type="none" side="bothSides" anchorx="text"/>
              </v:shape>
            </w:pict>
          </mc:Fallback>
        </mc:AlternateContent>
      </w:r>
      <w:r>
        <w:rPr>
          <w:color w:val="000000"/>
          <w:u w:color="000000"/>
          <w:rtl w:val="0"/>
          <w:lang w:val="en-US"/>
        </w:rPr>
        <w:t xml:space="preserve">*If you answered </w:t>
      </w:r>
      <w:r>
        <w:rPr>
          <w:color w:val="000000"/>
          <w:u w:color="000000"/>
          <w:rtl w:val="0"/>
          <w:lang w:val="en-US"/>
        </w:rPr>
        <w:t>“</w:t>
      </w:r>
      <w:r>
        <w:rPr>
          <w:b w:val="1"/>
          <w:bCs w:val="1"/>
          <w:color w:val="000000"/>
          <w:u w:color="000000"/>
          <w:rtl w:val="0"/>
          <w:lang w:val="en-US"/>
        </w:rPr>
        <w:t>No</w:t>
      </w:r>
      <w:r>
        <w:rPr>
          <w:color w:val="000000"/>
          <w:u w:color="000000"/>
          <w:rtl w:val="0"/>
          <w:lang w:val="en-US"/>
        </w:rPr>
        <w:t xml:space="preserve">” </w:t>
      </w:r>
      <w:r>
        <w:rPr>
          <w:color w:val="000000"/>
          <w:u w:color="000000"/>
          <w:rtl w:val="0"/>
          <w:lang w:val="en-US"/>
        </w:rPr>
        <w:t xml:space="preserve">to the questions above,  </w:t>
      </w:r>
      <w:r>
        <w:rPr>
          <w:b w:val="1"/>
          <w:bCs w:val="1"/>
          <w:color w:val="ffffff"/>
          <w:sz w:val="20"/>
          <w:szCs w:val="20"/>
          <w:u w:color="ffffff"/>
          <w:rtl w:val="0"/>
          <w:lang w:val="en-US"/>
        </w:rPr>
        <w:t xml:space="preserve"> STOP</w:t>
      </w:r>
      <w:r>
        <w:rPr>
          <w:color w:val="000000"/>
          <w:u w:color="000000"/>
          <w:rtl w:val="0"/>
          <w:lang w:val="en-US"/>
        </w:rPr>
        <w:t xml:space="preserve">   you do not qualify. Do not submit this form.</w:t>
      </w:r>
    </w:p>
    <w:p>
      <w:pPr>
        <w:pStyle w:val="Normal,procedures"/>
        <w:tabs>
          <w:tab w:val="right" w:pos="10773"/>
        </w:tabs>
        <w:rPr>
          <w:color w:val="000000"/>
          <w:u w:color="000000"/>
        </w:rPr>
      </w:pPr>
    </w:p>
    <w:p>
      <w:pPr>
        <w:pStyle w:val="Normal,procedures"/>
        <w:tabs>
          <w:tab w:val="right" w:pos="10773"/>
        </w:tabs>
        <w:rPr>
          <w:color w:val="000000"/>
          <w:u w:color="000000"/>
        </w:rPr>
      </w:pPr>
    </w:p>
    <w:p>
      <w:pPr>
        <w:pStyle w:val="Normal,procedures"/>
        <w:tabs>
          <w:tab w:val="right" w:pos="10773"/>
        </w:tabs>
        <w:rPr>
          <w:color w:val="000000"/>
          <w:u w:color="000000"/>
        </w:rPr>
      </w:pPr>
      <w:r>
        <w:rPr>
          <w:color w:val="000000"/>
          <w:u w:color="000000"/>
          <w:rtl w:val="0"/>
          <w:lang w:val="en-US"/>
        </w:rPr>
        <w:t xml:space="preserve">*If you answered </w:t>
      </w:r>
      <w:r>
        <w:rPr>
          <w:color w:val="000000"/>
          <w:u w:color="000000"/>
          <w:rtl w:val="0"/>
          <w:lang w:val="en-US"/>
        </w:rPr>
        <w:t>“</w:t>
      </w:r>
      <w:r>
        <w:rPr>
          <w:b w:val="1"/>
          <w:bCs w:val="1"/>
          <w:color w:val="000000"/>
          <w:u w:color="000000"/>
          <w:rtl w:val="0"/>
          <w:lang w:val="en-US"/>
        </w:rPr>
        <w:t>Yes</w:t>
      </w:r>
      <w:r>
        <w:rPr>
          <w:color w:val="000000"/>
          <w:u w:color="000000"/>
          <w:rtl w:val="0"/>
          <w:lang w:val="en-US"/>
        </w:rPr>
        <w:t xml:space="preserve">” </w:t>
      </w:r>
      <w:r>
        <w:rPr>
          <w:color w:val="000000"/>
          <w:u w:color="000000"/>
          <w:rtl w:val="0"/>
          <w:lang w:val="en-US"/>
        </w:rPr>
        <w:t>to the questions above, sign and submit the form by March 1, with the required documents, to the property appraiser in the county of your homestead.</w:t>
      </w:r>
    </w:p>
    <w:p>
      <w:pPr>
        <w:pStyle w:val="Normal,procedures"/>
        <w:rPr>
          <w:color w:val="000000"/>
          <w:u w:color="000000"/>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5"/>
        <w:gridCol w:w="4275"/>
        <w:gridCol w:w="1368"/>
        <w:gridCol w:w="4110"/>
      </w:tblGrid>
      <w:tr>
        <w:tblPrEx>
          <w:shd w:val="clear" w:color="auto" w:fill="ced7e7"/>
        </w:tblPrEx>
        <w:trPr>
          <w:trHeight w:val="24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Parcel ID</w:t>
            </w:r>
          </w:p>
        </w:tc>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bidi w:val="0"/>
              <w:ind w:left="0" w:right="0" w:firstLine="0"/>
              <w:jc w:val="left"/>
              <w:rPr>
                <w:rtl w:val="0"/>
              </w:rPr>
            </w:pPr>
            <w:r>
              <w:rPr>
                <w:rFonts w:ascii="Arial" w:hAnsi="Arial" w:hint="default"/>
                <w:rtl w:val="0"/>
              </w:rPr>
              <w:t>     </w:t>
            </w:r>
          </w:p>
        </w:tc>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County </w:t>
            </w:r>
          </w:p>
        </w:tc>
        <w:tc>
          <w:tcPr>
            <w:tcW w:type="dxa" w:w="4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r>
      <w:tr>
        <w:tblPrEx>
          <w:shd w:val="clear" w:color="auto" w:fill="ced7e7"/>
        </w:tblPrEx>
        <w:trPr>
          <w:trHeight w:val="48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Name</w:t>
            </w:r>
          </w:p>
        </w:tc>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bidi w:val="0"/>
              <w:ind w:left="0" w:right="0" w:firstLine="0"/>
              <w:jc w:val="left"/>
              <w:rPr>
                <w:rtl w:val="0"/>
              </w:rPr>
            </w:pPr>
            <w:r>
              <w:rPr>
                <w:rFonts w:ascii="Arial" w:hAnsi="Arial" w:hint="default"/>
                <w:rtl w:val="0"/>
              </w:rPr>
              <w:t>     </w:t>
            </w:r>
          </w:p>
        </w:tc>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Date of birth</w:t>
            </w:r>
          </w:p>
        </w:tc>
        <w:tc>
          <w:tcPr>
            <w:tcW w:type="dxa" w:w="4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r>
      <w:tr>
        <w:tblPrEx>
          <w:shd w:val="clear" w:color="auto" w:fill="ced7e7"/>
        </w:tblPrEx>
        <w:trPr>
          <w:trHeight w:val="829"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692"/>
              </w:tabs>
            </w:pPr>
            <w:r>
              <w:rPr>
                <w:rtl w:val="0"/>
                <w:lang w:val="en-US"/>
              </w:rPr>
              <w:t>Mailing address</w:t>
            </w:r>
          </w:p>
        </w:tc>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692"/>
              </w:tabs>
              <w:bidi w:val="0"/>
              <w:ind w:left="0" w:right="0" w:firstLine="0"/>
              <w:jc w:val="left"/>
              <w:rPr>
                <w:rtl w:val="0"/>
              </w:rPr>
            </w:pPr>
            <w:r>
              <w:rPr>
                <w:rFonts w:ascii="Arial" w:hAnsi="Arial" w:hint="default"/>
                <w:rtl w:val="0"/>
              </w:rPr>
              <w:t>     </w:t>
            </w:r>
          </w:p>
        </w:tc>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pPr>
            <w:r>
              <w:rPr>
                <w:rtl w:val="0"/>
                <w:lang w:val="en-US"/>
              </w:rPr>
              <w:t>Physical address, if different</w:t>
            </w:r>
          </w:p>
        </w:tc>
        <w:tc>
          <w:tcPr>
            <w:tcW w:type="dxa" w:w="4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bidi w:val="0"/>
              <w:ind w:left="0" w:right="0" w:firstLine="0"/>
              <w:jc w:val="left"/>
              <w:rPr>
                <w:rtl w:val="0"/>
              </w:rPr>
            </w:pPr>
            <w:r>
              <w:rPr>
                <w:rFonts w:ascii="Arial" w:hAnsi="Arial" w:hint="default"/>
                <w:rtl w:val="0"/>
              </w:rPr>
              <w:t>     </w:t>
            </w:r>
          </w:p>
        </w:tc>
      </w:tr>
      <w:tr>
        <w:tblPrEx>
          <w:shd w:val="clear" w:color="auto" w:fill="ced7e7"/>
        </w:tblPrEx>
        <w:trPr>
          <w:trHeight w:val="24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Phone</w:t>
            </w:r>
          </w:p>
        </w:tc>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bidi w:val="0"/>
              <w:ind w:left="0" w:right="0" w:firstLine="0"/>
              <w:jc w:val="left"/>
              <w:rPr>
                <w:rtl w:val="0"/>
              </w:rPr>
            </w:pPr>
            <w:r>
              <w:rPr>
                <w:rFonts w:ascii="Arial" w:hAnsi="Arial" w:hint="default"/>
                <w:rtl w:val="0"/>
              </w:rPr>
              <w:t>     </w:t>
            </w:r>
          </w:p>
        </w:tc>
        <w:tc>
          <w:tcPr>
            <w:tcW w:type="dxa" w:w="547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Percent of service-connected disability  </w:t>
            </w:r>
            <w:r>
              <w:rPr>
                <w:rtl w:val="0"/>
                <w:lang w:val="en-US"/>
              </w:rPr>
              <w:t xml:space="preserve">      </w:t>
            </w:r>
            <w:r>
              <w:rPr>
                <w:rtl w:val="0"/>
                <w:lang w:val="en-US"/>
              </w:rPr>
              <w:t>%</w:t>
            </w:r>
          </w:p>
        </w:tc>
      </w:tr>
    </w:tbl>
    <w:p>
      <w:pPr>
        <w:pStyle w:val="Normal,procedures"/>
        <w:widowControl w:val="0"/>
        <w:rPr>
          <w:color w:val="000000"/>
          <w:u w:color="000000"/>
        </w:rPr>
      </w:pPr>
    </w:p>
    <w:p>
      <w:pPr>
        <w:pStyle w:val="Normal,procedures"/>
        <w:rPr>
          <w:color w:val="000000"/>
          <w:u w:color="000000"/>
        </w:rPr>
      </w:pPr>
    </w:p>
    <w:tbl>
      <w:tblPr>
        <w:tblW w:w="109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9"/>
        <w:gridCol w:w="4985"/>
        <w:gridCol w:w="236"/>
        <w:gridCol w:w="162"/>
        <w:gridCol w:w="160"/>
        <w:gridCol w:w="1753"/>
        <w:gridCol w:w="1688"/>
        <w:gridCol w:w="236"/>
        <w:gridCol w:w="242"/>
        <w:gridCol w:w="846"/>
        <w:gridCol w:w="350"/>
      </w:tblGrid>
      <w:tr>
        <w:tblPrEx>
          <w:shd w:val="clear" w:color="auto" w:fill="ced7e7"/>
        </w:tblPrEx>
        <w:trPr>
          <w:trHeight w:val="663" w:hRule="atLeast"/>
        </w:trPr>
        <w:tc>
          <w:tcPr>
            <w:tcW w:type="dxa" w:w="9741"/>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pPr>
              <w:pStyle w:val="Normal,procedures"/>
            </w:pPr>
            <w:r>
              <w:rPr>
                <w:sz w:val="24"/>
                <w:szCs w:val="24"/>
                <w:rtl w:val="0"/>
                <w:lang w:val="en-US"/>
              </w:rPr>
              <w:t xml:space="preserve">Provide the documents below to the property appraiser. </w:t>
            </w:r>
          </w:p>
        </w:tc>
        <w:tc>
          <w:tcPr>
            <w:tcW w:type="dxa" w:w="11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Normal,procedures"/>
              <w:spacing w:before="40" w:after="40"/>
              <w:jc w:val="center"/>
            </w:pPr>
            <w:r>
              <w:rPr>
                <w:sz w:val="20"/>
                <w:szCs w:val="20"/>
                <w:rtl w:val="0"/>
                <w:lang w:val="en-US"/>
              </w:rPr>
              <w:t>Property appraiser check box</w:t>
            </w:r>
          </w:p>
        </w:tc>
      </w:tr>
      <w:tr>
        <w:tblPrEx>
          <w:shd w:val="clear" w:color="auto" w:fill="ced7e7"/>
        </w:tblPrEx>
        <w:trPr>
          <w:trHeight w:val="243" w:hRule="atLeast"/>
        </w:trPr>
        <w:tc>
          <w:tcPr>
            <w:tcW w:type="dxa" w:w="9741"/>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ullet"/>
              <w:numPr>
                <w:ilvl w:val="0"/>
                <w:numId w:val="4"/>
              </w:numPr>
              <w:spacing w:before="60" w:after="60"/>
              <w:rPr>
                <w:lang w:val="en-US"/>
              </w:rPr>
            </w:pPr>
            <w:r>
              <w:rPr>
                <w:rtl w:val="0"/>
                <w:lang w:val="en-US"/>
              </w:rPr>
              <w:t>Copy of honorable discharge papers (example: DD Form 214)</w:t>
            </w:r>
          </w:p>
        </w:tc>
        <w:tc>
          <w:tcPr>
            <w:tcW w:type="dxa" w:w="11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tc>
      </w:tr>
      <w:tr>
        <w:tblPrEx>
          <w:shd w:val="clear" w:color="auto" w:fill="ced7e7"/>
        </w:tblPrEx>
        <w:trPr>
          <w:trHeight w:val="243" w:hRule="atLeast"/>
        </w:trPr>
        <w:tc>
          <w:tcPr>
            <w:tcW w:type="dxa" w:w="9741"/>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ullet"/>
              <w:numPr>
                <w:ilvl w:val="0"/>
                <w:numId w:val="5"/>
              </w:numPr>
              <w:spacing w:before="60" w:after="60"/>
              <w:rPr>
                <w:lang w:val="en-US"/>
              </w:rPr>
            </w:pPr>
            <w:r>
              <w:rPr>
                <w:rtl w:val="0"/>
                <w:lang w:val="en-US"/>
              </w:rPr>
              <w:t>Copy of the rating decision letter from the US Department of Veterans Affairs</w:t>
            </w:r>
          </w:p>
        </w:tc>
        <w:tc>
          <w:tcPr>
            <w:tcW w:type="dxa" w:w="11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tc>
      </w:tr>
      <w:tr>
        <w:tblPrEx>
          <w:shd w:val="clear" w:color="auto" w:fill="ced7e7"/>
        </w:tblPrEx>
        <w:trPr>
          <w:trHeight w:val="483" w:hRule="atLeast"/>
        </w:trPr>
        <w:tc>
          <w:tcPr>
            <w:tcW w:type="dxa" w:w="9741"/>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ullet"/>
              <w:numPr>
                <w:ilvl w:val="0"/>
                <w:numId w:val="6"/>
              </w:numPr>
              <w:spacing w:before="60" w:after="60"/>
              <w:rPr>
                <w:lang w:val="en-US"/>
              </w:rPr>
            </w:pPr>
            <w:r>
              <w:rPr>
                <w:rtl w:val="0"/>
                <w:lang w:val="en-US"/>
              </w:rPr>
              <w:t>Evidence from the US Department of Veterans Affairs or military branch identifying the portion of the disability that is combat related, if not included in the rating decision letter</w:t>
            </w:r>
          </w:p>
        </w:tc>
        <w:tc>
          <w:tcPr>
            <w:tcW w:type="dxa" w:w="11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tc>
      </w:tr>
      <w:tr>
        <w:tblPrEx>
          <w:shd w:val="clear" w:color="auto" w:fill="ced7e7"/>
        </w:tblPrEx>
        <w:trPr>
          <w:trHeight w:val="282" w:hRule="atLeast"/>
        </w:trPr>
        <w:tc>
          <w:tcPr>
            <w:tcW w:type="dxa" w:w="9741"/>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ullet"/>
              <w:numPr>
                <w:ilvl w:val="0"/>
                <w:numId w:val="7"/>
              </w:numPr>
              <w:spacing w:before="60" w:after="60"/>
              <w:rPr>
                <w:lang w:val="en-US"/>
              </w:rPr>
            </w:pPr>
            <w:r>
              <w:rPr>
                <w:rtl w:val="0"/>
                <w:lang w:val="en-US"/>
              </w:rPr>
              <w:t>Proof of age 65 as of January 1 of current tax year</w:t>
            </w:r>
          </w:p>
        </w:tc>
        <w:tc>
          <w:tcPr>
            <w:tcW w:type="dxa" w:w="11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pPr>
              <w:pStyle w:val="Normal,procedures"/>
              <w:jc w:val="center"/>
            </w:pPr>
            <w:r>
              <w:rPr>
                <w:sz w:val="24"/>
                <w:szCs w:val="24"/>
                <w:rtl w:val="0"/>
                <w:lang w:val="en-US"/>
              </w:rPr>
              <w:t xml:space="preserve"> </w:t>
            </w:r>
          </w:p>
        </w:tc>
      </w:tr>
      <w:tr>
        <w:tblPrEx>
          <w:shd w:val="clear" w:color="auto" w:fill="ced7e7"/>
        </w:tblPrEx>
        <w:trPr>
          <w:trHeight w:val="560" w:hRule="atLeast"/>
        </w:trPr>
        <w:tc>
          <w:tcPr>
            <w:tcW w:type="dxa" w:w="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6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0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04" w:hRule="atLeast"/>
        </w:trPr>
        <w:tc>
          <w:tcPr>
            <w:tcW w:type="dxa" w:w="55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pPr>
            <w:r>
              <w:rPr>
                <w:sz w:val="18"/>
                <w:szCs w:val="18"/>
                <w:rtl w:val="0"/>
                <w:lang w:val="en-US"/>
              </w:rPr>
              <w:t xml:space="preserve">   Signature, applicant </w:t>
            </w:r>
          </w:p>
        </w:tc>
        <w:tc>
          <w:tcPr>
            <w:tcW w:type="dxa" w:w="5437"/>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503"/>
                <w:tab w:val="left" w:pos="4190"/>
              </w:tabs>
            </w:pPr>
            <w:r>
              <w:rPr>
                <w:sz w:val="18"/>
                <w:szCs w:val="18"/>
                <w:rtl w:val="0"/>
                <w:lang w:val="en-US"/>
              </w:rPr>
              <w:tab/>
              <w:t>Print name</w:t>
              <w:tab/>
              <w:t xml:space="preserve">Date </w:t>
            </w:r>
          </w:p>
        </w:tc>
      </w:tr>
      <w:tr>
        <w:tblPrEx>
          <w:shd w:val="clear" w:color="auto" w:fill="ced7e7"/>
        </w:tblPrEx>
        <w:trPr>
          <w:trHeight w:val="550" w:hRule="atLeast"/>
        </w:trPr>
        <w:tc>
          <w:tcPr>
            <w:tcW w:type="dxa" w:w="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procedures"/>
              <w:bidi w:val="0"/>
              <w:ind w:left="0" w:right="0" w:firstLine="0"/>
              <w:jc w:val="left"/>
              <w:rPr>
                <w:rtl w:val="0"/>
              </w:rPr>
            </w:pPr>
            <w:r>
              <w:rPr>
                <w:rFonts w:ascii="Arial" w:hAnsi="Arial" w:hint="default"/>
                <w:rtl w:val="0"/>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336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04" w:hRule="atLeast"/>
        </w:trPr>
        <w:tc>
          <w:tcPr>
            <w:tcW w:type="dxa" w:w="55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pPr>
            <w:r>
              <w:rPr>
                <w:sz w:val="18"/>
                <w:szCs w:val="18"/>
                <w:rtl w:val="0"/>
                <w:lang w:val="en-US"/>
              </w:rPr>
              <w:t xml:space="preserve">   Signature, deputy property appraiser </w:t>
            </w:r>
          </w:p>
        </w:tc>
        <w:tc>
          <w:tcPr>
            <w:tcW w:type="dxa" w:w="5437"/>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941"/>
                <w:tab w:val="left" w:pos="4190"/>
              </w:tabs>
            </w:pPr>
            <w:r>
              <w:rPr>
                <w:sz w:val="18"/>
                <w:szCs w:val="18"/>
                <w:rtl w:val="0"/>
                <w:lang w:val="en-US"/>
              </w:rPr>
              <w:tab/>
              <w:t>Date</w:t>
              <w:tab/>
              <w:t xml:space="preserve"> </w:t>
            </w:r>
          </w:p>
        </w:tc>
      </w:tr>
    </w:tbl>
    <w:p>
      <w:pPr>
        <w:pStyle w:val="Normal,procedures"/>
        <w:widowControl w:val="0"/>
        <w:rPr>
          <w:color w:val="000000"/>
          <w:u w:color="000000"/>
        </w:rPr>
      </w:pPr>
    </w:p>
    <w:p>
      <w:pPr>
        <w:pStyle w:val="Normal,procedures"/>
        <w:tabs>
          <w:tab w:val="left" w:pos="7923"/>
        </w:tabs>
        <w:jc w:val="center"/>
        <w:rPr>
          <w:color w:val="000000"/>
          <w:sz w:val="18"/>
          <w:szCs w:val="18"/>
          <w:u w:color="000000"/>
        </w:rPr>
      </w:pPr>
    </w:p>
    <w:p>
      <w:pPr>
        <w:pStyle w:val="Normal,procedures"/>
        <w:tabs>
          <w:tab w:val="left" w:pos="7923"/>
        </w:tabs>
        <w:jc w:val="center"/>
      </w:pPr>
      <w:r>
        <w:rPr>
          <w:rFonts w:ascii="Arial Unicode MS" w:cs="Arial Unicode MS" w:hAnsi="Arial Unicode MS" w:eastAsia="Arial Unicode MS"/>
          <w:b w:val="0"/>
          <w:bCs w:val="0"/>
          <w:i w:val="0"/>
          <w:iCs w:val="0"/>
          <w:color w:val="000000"/>
          <w:sz w:val="18"/>
          <w:szCs w:val="18"/>
          <w:u w:color="000000"/>
        </w:rPr>
        <w:br w:type="page"/>
      </w:r>
    </w:p>
    <w:p>
      <w:pPr>
        <w:pStyle w:val="Normal,procedures"/>
        <w:rPr>
          <w:b w:val="1"/>
          <w:bCs w:val="1"/>
          <w:color w:val="000000"/>
          <w:u w:color="000000"/>
        </w:rPr>
      </w:pPr>
      <w:r>
        <w:rPr>
          <w:color w:val="000000"/>
          <w:sz w:val="24"/>
          <w:szCs w:val="24"/>
          <w:u w:color="000000"/>
        </w:rPr>
        <mc:AlternateContent>
          <mc:Choice Requires="wps">
            <w:drawing>
              <wp:anchor distT="0" distB="0" distL="0" distR="0" simplePos="0" relativeHeight="251659264" behindDoc="0" locked="0" layoutInCell="1" allowOverlap="1">
                <wp:simplePos x="0" y="0"/>
                <wp:positionH relativeFrom="column">
                  <wp:posOffset>5883909</wp:posOffset>
                </wp:positionH>
                <wp:positionV relativeFrom="line">
                  <wp:posOffset>-393065</wp:posOffset>
                </wp:positionV>
                <wp:extent cx="1049656" cy="571501"/>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049656" cy="571501"/>
                        </a:xfrm>
                        <a:prstGeom prst="rect">
                          <a:avLst/>
                        </a:prstGeom>
                        <a:noFill/>
                        <a:ln w="12700" cap="flat">
                          <a:noFill/>
                          <a:miter lim="400000"/>
                        </a:ln>
                        <a:effectLst/>
                      </wps:spPr>
                      <wps:txbx>
                        <w:txbxContent>
                          <w:p>
                            <w:pPr>
                              <w:pStyle w:val="Normal,procedures"/>
                              <w:jc w:val="right"/>
                              <w:rPr>
                                <w:color w:val="000000"/>
                                <w:sz w:val="18"/>
                                <w:szCs w:val="18"/>
                                <w:u w:color="000000"/>
                              </w:rPr>
                            </w:pPr>
                            <w:r>
                              <w:rPr>
                                <w:color w:val="000000"/>
                                <w:sz w:val="18"/>
                                <w:szCs w:val="18"/>
                                <w:u w:color="000000"/>
                                <w:rtl w:val="0"/>
                                <w:lang w:val="en-US"/>
                              </w:rPr>
                              <w:t xml:space="preserve">DR-501DV </w:t>
                            </w:r>
                          </w:p>
                          <w:p>
                            <w:pPr>
                              <w:pStyle w:val="Normal,procedures"/>
                              <w:jc w:val="right"/>
                              <w:rPr>
                                <w:color w:val="000000"/>
                                <w:sz w:val="18"/>
                                <w:szCs w:val="18"/>
                                <w:u w:color="000000"/>
                              </w:rPr>
                            </w:pPr>
                            <w:r>
                              <w:rPr>
                                <w:color w:val="000000"/>
                                <w:sz w:val="18"/>
                                <w:szCs w:val="18"/>
                                <w:u w:color="000000"/>
                                <w:rtl w:val="0"/>
                                <w:lang w:val="en-US"/>
                              </w:rPr>
                              <w:t>R. 12/12</w:t>
                            </w:r>
                          </w:p>
                          <w:p>
                            <w:pPr>
                              <w:pStyle w:val="Normal,procedures"/>
                              <w:jc w:val="right"/>
                            </w:pPr>
                            <w:r>
                              <w:rPr>
                                <w:color w:val="000000"/>
                                <w:sz w:val="18"/>
                                <w:szCs w:val="18"/>
                                <w:u w:color="000000"/>
                                <w:rtl w:val="0"/>
                                <w:lang w:val="en-US"/>
                              </w:rPr>
                              <w:t>Page 2</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463.3pt;margin-top:-31.0pt;width:82.7pt;height:45.0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procedures"/>
                        <w:jc w:val="right"/>
                        <w:rPr>
                          <w:color w:val="000000"/>
                          <w:sz w:val="18"/>
                          <w:szCs w:val="18"/>
                          <w:u w:color="000000"/>
                        </w:rPr>
                      </w:pPr>
                      <w:r>
                        <w:rPr>
                          <w:color w:val="000000"/>
                          <w:sz w:val="18"/>
                          <w:szCs w:val="18"/>
                          <w:u w:color="000000"/>
                          <w:rtl w:val="0"/>
                          <w:lang w:val="en-US"/>
                        </w:rPr>
                        <w:t xml:space="preserve">DR-501DV </w:t>
                      </w:r>
                    </w:p>
                    <w:p>
                      <w:pPr>
                        <w:pStyle w:val="Normal,procedures"/>
                        <w:jc w:val="right"/>
                        <w:rPr>
                          <w:color w:val="000000"/>
                          <w:sz w:val="18"/>
                          <w:szCs w:val="18"/>
                          <w:u w:color="000000"/>
                        </w:rPr>
                      </w:pPr>
                      <w:r>
                        <w:rPr>
                          <w:color w:val="000000"/>
                          <w:sz w:val="18"/>
                          <w:szCs w:val="18"/>
                          <w:u w:color="000000"/>
                          <w:rtl w:val="0"/>
                          <w:lang w:val="en-US"/>
                        </w:rPr>
                        <w:t>R. 12/12</w:t>
                      </w:r>
                    </w:p>
                    <w:p>
                      <w:pPr>
                        <w:pStyle w:val="Normal,procedures"/>
                        <w:jc w:val="right"/>
                      </w:pPr>
                      <w:r>
                        <w:rPr>
                          <w:color w:val="000000"/>
                          <w:sz w:val="18"/>
                          <w:szCs w:val="18"/>
                          <w:u w:color="000000"/>
                          <w:rtl w:val="0"/>
                          <w:lang w:val="en-US"/>
                        </w:rPr>
                        <w:t>Page 2</w:t>
                      </w:r>
                    </w:p>
                  </w:txbxContent>
                </v:textbox>
                <w10:wrap type="none" side="bothSides" anchorx="text"/>
              </v:shape>
            </w:pict>
          </mc:Fallback>
        </mc:AlternateConten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016"/>
      </w:tblGrid>
      <w:tr>
        <w:tblPrEx>
          <w:shd w:val="clear" w:color="auto" w:fill="ced7e7"/>
        </w:tblPrEx>
        <w:trPr>
          <w:trHeight w:val="1223" w:hRule="atLeast"/>
        </w:trPr>
        <w:tc>
          <w:tcPr>
            <w:tcW w:type="dxa" w:w="11016"/>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ffff00"/>
            <w:tcMar>
              <w:top w:type="dxa" w:w="80"/>
              <w:left w:type="dxa" w:w="80"/>
              <w:bottom w:type="dxa" w:w="80"/>
              <w:right w:type="dxa" w:w="80"/>
            </w:tcMar>
            <w:vAlign w:val="top"/>
          </w:tcPr>
          <w:p>
            <w:pPr>
              <w:pStyle w:val="Normal,procedures"/>
            </w:pPr>
            <w:r>
              <w:rPr>
                <w:b w:val="1"/>
                <w:bCs w:val="1"/>
                <w:sz w:val="20"/>
                <w:szCs w:val="20"/>
                <w:rtl w:val="0"/>
                <w:lang w:val="en-US"/>
              </w:rPr>
              <w:t xml:space="preserve">NOTE: </w:t>
            </w:r>
            <w:r>
              <w:rPr>
                <w:b w:val="1"/>
                <w:bCs w:val="1"/>
                <w:rtl w:val="0"/>
                <w:lang w:val="en-US"/>
              </w:rPr>
              <w:t>Amendment 2 approved by the voters in the November 2012 election removed the requirement in the Florida Constitution that a servicemember must have been a resident of Florida at the time of entering military service.  Effective for the 2013 tax year, a servicemember is no longer required to have been a resident of Florida at the time of entering military service.  Section 196.082, Florida Statutes, Discounts for disabled veterans, has not yet been revised to remove the requirement.</w:t>
            </w:r>
          </w:p>
        </w:tc>
      </w:tr>
    </w:tbl>
    <w:p>
      <w:pPr>
        <w:pStyle w:val="Normal,procedures"/>
        <w:widowControl w:val="0"/>
        <w:rPr>
          <w:b w:val="1"/>
          <w:bCs w:val="1"/>
          <w:color w:val="000000"/>
          <w:u w:color="000000"/>
        </w:rPr>
      </w:pPr>
    </w:p>
    <w:p>
      <w:pPr>
        <w:pStyle w:val="Normal,procedures"/>
        <w:tabs>
          <w:tab w:val="left" w:pos="7923"/>
        </w:tabs>
        <w:jc w:val="center"/>
        <w:rPr>
          <w:color w:val="000000"/>
          <w:u w:color="000000"/>
        </w:rPr>
      </w:pPr>
    </w:p>
    <w:p>
      <w:pPr>
        <w:pStyle w:val="Normal,procedures"/>
        <w:tabs>
          <w:tab w:val="left" w:pos="7923"/>
        </w:tabs>
        <w:spacing w:before="120" w:after="120"/>
        <w:jc w:val="center"/>
        <w:rPr>
          <w:color w:val="000000"/>
          <w:u w:color="000000"/>
        </w:rPr>
      </w:pPr>
      <w:r>
        <w:rPr>
          <w:color w:val="000000"/>
          <w:u w:color="000000"/>
          <w:rtl w:val="0"/>
          <w:lang w:val="en-US"/>
        </w:rPr>
        <w:t>Section 196.082, Florida Statutes</w:t>
      </w:r>
    </w:p>
    <w:p>
      <w:pPr>
        <w:pStyle w:val="Normal,procedures"/>
        <w:spacing w:before="120" w:after="120"/>
        <w:rPr>
          <w:color w:val="000000"/>
          <w:u w:color="000000"/>
        </w:rPr>
      </w:pPr>
      <w:r>
        <w:rPr>
          <w:color w:val="000000"/>
          <w:u w:color="000000"/>
          <w:rtl w:val="0"/>
          <w:lang w:val="en-US"/>
        </w:rPr>
        <w:t>196.082 Discounts for disabled veterans.</w:t>
      </w:r>
      <w:r>
        <w:rPr>
          <w:color w:val="000000"/>
          <w:u w:color="000000"/>
          <w:rtl w:val="0"/>
          <w:lang w:val="en-US"/>
        </w:rPr>
        <w:t>—</w:t>
      </w:r>
    </w:p>
    <w:p>
      <w:pPr>
        <w:pStyle w:val="Normal,procedures"/>
        <w:spacing w:before="120" w:after="60"/>
        <w:ind w:left="342" w:hanging="342"/>
        <w:rPr>
          <w:color w:val="000000"/>
          <w:u w:color="000000"/>
        </w:rPr>
      </w:pPr>
      <w:r>
        <w:rPr>
          <w:color w:val="000000"/>
          <w:u w:color="000000"/>
          <w:rtl w:val="0"/>
          <w:lang w:val="en-US"/>
        </w:rPr>
        <w:t xml:space="preserve">(1) Each veteran who is age 65 or older and is partially or totally permanently disabled shall receive a discount from the amount of the ad valorem tax otherwise owed on homestead property that the veteran owns and resides in if: </w:t>
      </w:r>
    </w:p>
    <w:p>
      <w:pPr>
        <w:pStyle w:val="Normal,procedures"/>
        <w:spacing w:before="120" w:after="60"/>
        <w:ind w:left="684" w:hanging="342"/>
        <w:rPr>
          <w:color w:val="000000"/>
          <w:u w:color="000000"/>
        </w:rPr>
      </w:pPr>
      <w:r>
        <w:rPr>
          <w:color w:val="000000"/>
          <w:u w:color="000000"/>
          <w:rtl w:val="0"/>
          <w:lang w:val="en-US"/>
        </w:rPr>
        <w:t xml:space="preserve">(a) The disability was combat-related; </w:t>
      </w:r>
    </w:p>
    <w:p>
      <w:pPr>
        <w:pStyle w:val="Normal,procedures"/>
        <w:spacing w:before="120" w:after="60"/>
        <w:ind w:left="684" w:hanging="342"/>
        <w:rPr>
          <w:color w:val="000000"/>
          <w:u w:color="000000"/>
        </w:rPr>
      </w:pPr>
      <w:r>
        <w:rPr>
          <w:color w:val="000000"/>
          <w:u w:color="000000"/>
          <w:rtl w:val="0"/>
          <w:lang w:val="en-US"/>
        </w:rPr>
        <w:t>(b) The veteran was a resident of this state at the time of entering the military service of the United States; and</w:t>
      </w:r>
    </w:p>
    <w:p>
      <w:pPr>
        <w:pStyle w:val="Normal,procedures"/>
        <w:spacing w:before="120" w:after="120"/>
        <w:ind w:left="692" w:hanging="346"/>
        <w:rPr>
          <w:color w:val="000000"/>
          <w:u w:color="000000"/>
        </w:rPr>
      </w:pPr>
      <w:r>
        <w:rPr>
          <w:color w:val="000000"/>
          <w:u w:color="000000"/>
          <w:rtl w:val="0"/>
          <w:lang w:val="en-US"/>
        </w:rPr>
        <w:t>(c) The veteran was honorably discharged upon separation from military service.</w:t>
      </w:r>
    </w:p>
    <w:p>
      <w:pPr>
        <w:pStyle w:val="Normal,procedures"/>
        <w:spacing w:before="120" w:after="120"/>
        <w:ind w:left="346" w:hanging="346"/>
        <w:rPr>
          <w:color w:val="000000"/>
          <w:u w:color="000000"/>
        </w:rPr>
      </w:pPr>
      <w:r>
        <w:rPr>
          <w:color w:val="000000"/>
          <w:u w:color="000000"/>
          <w:rtl w:val="0"/>
          <w:lang w:val="en-US"/>
        </w:rPr>
        <w:t>(2) The discount shall be in a percentage equal to the percentage of the veteran</w:t>
      </w:r>
      <w:r>
        <w:rPr>
          <w:color w:val="000000"/>
          <w:u w:color="000000"/>
          <w:rtl w:val="0"/>
          <w:lang w:val="en-US"/>
        </w:rPr>
        <w:t>’</w:t>
      </w:r>
      <w:r>
        <w:rPr>
          <w:color w:val="000000"/>
          <w:u w:color="000000"/>
          <w:rtl w:val="0"/>
          <w:lang w:val="en-US"/>
        </w:rPr>
        <w:t>s permanent, service-connected disability as determined by the United States Department of Veterans Affairs.</w:t>
      </w:r>
    </w:p>
    <w:p>
      <w:pPr>
        <w:pStyle w:val="Normal,procedures"/>
        <w:spacing w:before="120" w:after="60"/>
        <w:ind w:left="342" w:hanging="342"/>
        <w:rPr>
          <w:color w:val="000000"/>
          <w:u w:color="000000"/>
        </w:rPr>
      </w:pPr>
      <w:r>
        <w:rPr>
          <w:color w:val="000000"/>
          <w:u w:color="000000"/>
          <w:rtl w:val="0"/>
          <w:lang w:val="en-US"/>
        </w:rPr>
        <w:t xml:space="preserve">(3) To qualify for the discount granted under this section, an applicant must submit to the county property appraiser by March 1: </w:t>
      </w:r>
    </w:p>
    <w:p>
      <w:pPr>
        <w:pStyle w:val="Normal,procedures"/>
        <w:tabs>
          <w:tab w:val="left" w:pos="684"/>
        </w:tabs>
        <w:spacing w:before="120" w:after="60"/>
        <w:ind w:left="684" w:hanging="342"/>
        <w:rPr>
          <w:color w:val="000000"/>
          <w:u w:color="000000"/>
        </w:rPr>
      </w:pPr>
      <w:r>
        <w:rPr>
          <w:color w:val="000000"/>
          <w:u w:color="000000"/>
          <w:rtl w:val="0"/>
          <w:lang w:val="en-US"/>
        </w:rPr>
        <w:t xml:space="preserve">(a) Proof of residency at the time of entering military service; </w:t>
      </w:r>
    </w:p>
    <w:p>
      <w:pPr>
        <w:pStyle w:val="Normal,procedures"/>
        <w:tabs>
          <w:tab w:val="left" w:pos="684"/>
        </w:tabs>
        <w:spacing w:before="120" w:after="60"/>
        <w:ind w:left="684" w:hanging="342"/>
        <w:rPr>
          <w:color w:val="000000"/>
          <w:u w:color="000000"/>
        </w:rPr>
      </w:pPr>
      <w:r>
        <w:rPr>
          <w:color w:val="000000"/>
          <w:u w:color="000000"/>
          <w:rtl w:val="0"/>
          <w:lang w:val="en-US"/>
        </w:rPr>
        <w:t>(b) An official letter from the United States Department of Veterans Affairs which states the percentage of the veteran</w:t>
      </w:r>
      <w:r>
        <w:rPr>
          <w:color w:val="000000"/>
          <w:u w:color="000000"/>
          <w:rtl w:val="0"/>
          <w:lang w:val="en-US"/>
        </w:rPr>
        <w:t>’</w:t>
      </w:r>
      <w:r>
        <w:rPr>
          <w:color w:val="000000"/>
          <w:u w:color="000000"/>
          <w:rtl w:val="0"/>
          <w:lang w:val="en-US"/>
        </w:rPr>
        <w:t>s service-connected disability and evidence that reasonably identifies the disability as combat-related;</w:t>
      </w:r>
    </w:p>
    <w:p>
      <w:pPr>
        <w:pStyle w:val="Normal,procedures"/>
        <w:tabs>
          <w:tab w:val="left" w:pos="684"/>
        </w:tabs>
        <w:spacing w:before="120" w:after="60"/>
        <w:ind w:left="684" w:hanging="342"/>
        <w:rPr>
          <w:color w:val="000000"/>
          <w:u w:color="000000"/>
        </w:rPr>
      </w:pPr>
      <w:r>
        <w:rPr>
          <w:color w:val="000000"/>
          <w:u w:color="000000"/>
          <w:rtl w:val="0"/>
          <w:lang w:val="en-US"/>
        </w:rPr>
        <w:t>(c) A copy of the veteran</w:t>
      </w:r>
      <w:r>
        <w:rPr>
          <w:color w:val="000000"/>
          <w:u w:color="000000"/>
          <w:rtl w:val="0"/>
          <w:lang w:val="en-US"/>
        </w:rPr>
        <w:t>’</w:t>
      </w:r>
      <w:r>
        <w:rPr>
          <w:color w:val="000000"/>
          <w:u w:color="000000"/>
          <w:rtl w:val="0"/>
          <w:lang w:val="en-US"/>
        </w:rPr>
        <w:t xml:space="preserve">s honorable discharge; and </w:t>
      </w:r>
    </w:p>
    <w:p>
      <w:pPr>
        <w:pStyle w:val="Normal,procedures"/>
        <w:tabs>
          <w:tab w:val="left" w:pos="684"/>
        </w:tabs>
        <w:spacing w:before="120" w:after="60"/>
        <w:ind w:left="684" w:hanging="342"/>
        <w:rPr>
          <w:color w:val="000000"/>
          <w:u w:color="000000"/>
        </w:rPr>
      </w:pPr>
      <w:r>
        <w:rPr>
          <w:color w:val="000000"/>
          <w:u w:color="000000"/>
          <w:rtl w:val="0"/>
          <w:lang w:val="en-US"/>
        </w:rPr>
        <w:t>(d) Proof of age as of January 1 of the year to which the discount will apply.</w:t>
      </w:r>
    </w:p>
    <w:p>
      <w:pPr>
        <w:pStyle w:val="Normal,procedures"/>
        <w:spacing w:before="120" w:after="120"/>
        <w:ind w:left="346" w:firstLine="0"/>
        <w:rPr>
          <w:color w:val="000000"/>
          <w:u w:color="000000"/>
        </w:rPr>
      </w:pPr>
      <w:r>
        <w:rPr>
          <w:color w:val="000000"/>
          <w:u w:color="000000"/>
          <w:rtl w:val="0"/>
          <w:lang w:val="en-US"/>
        </w:rPr>
        <w:t>Any applicant who is qualified to receive a discount under this section and who fails to file an application by March 1 may file an application for the discount and may file, pursuant to s. 194.011(3), a petition with the value adjustment board requesting that the discount be granted. Such application and petition shall be subject to the same procedures as for exemptions set forth in s. 196.011(8).</w:t>
      </w:r>
    </w:p>
    <w:p>
      <w:pPr>
        <w:pStyle w:val="Normal,procedures"/>
        <w:spacing w:before="120" w:after="120"/>
        <w:ind w:left="346" w:hanging="346"/>
        <w:rPr>
          <w:color w:val="000000"/>
          <w:u w:color="000000"/>
        </w:rPr>
      </w:pPr>
      <w:r>
        <w:rPr>
          <w:color w:val="000000"/>
          <w:u w:color="000000"/>
          <w:rtl w:val="0"/>
          <w:lang w:val="en-US"/>
        </w:rPr>
        <w:t>(4) If the property appraiser denies the request for a discount, the appraiser must notify the applicant in writing, stating the reasons for denial, on or before July 1 of the year for which the application was filed. The applicant may reapply for the discount in a subsequent year using the procedure in this section. All notifications must specify the right to appeal to the value adjustment board and the procedures to follow in obtaining such an appeal under s. 196.193(5).</w:t>
      </w:r>
    </w:p>
    <w:p>
      <w:pPr>
        <w:pStyle w:val="Normal,procedures"/>
        <w:tabs>
          <w:tab w:val="left" w:pos="7923"/>
        </w:tabs>
        <w:spacing w:before="120" w:after="60"/>
        <w:ind w:left="342" w:hanging="342"/>
        <w:rPr>
          <w:color w:val="000000"/>
          <w:u w:color="000000"/>
        </w:rPr>
      </w:pPr>
      <w:r>
        <w:rPr>
          <w:color w:val="000000"/>
          <w:u w:color="000000"/>
          <w:rtl w:val="0"/>
          <w:lang w:val="en-US"/>
        </w:rPr>
        <w:t xml:space="preserve">(5) The property appraiser shall apply the discount by reducing the taxable value before certifying the tax roll to the tax collector. </w:t>
      </w:r>
    </w:p>
    <w:p>
      <w:pPr>
        <w:pStyle w:val="Normal,procedures"/>
        <w:tabs>
          <w:tab w:val="left" w:pos="7923"/>
        </w:tabs>
        <w:spacing w:before="120" w:after="60"/>
        <w:ind w:left="684" w:hanging="342"/>
        <w:rPr>
          <w:color w:val="000000"/>
          <w:u w:color="000000"/>
        </w:rPr>
      </w:pPr>
      <w:r>
        <w:rPr>
          <w:color w:val="000000"/>
          <w:u w:color="000000"/>
          <w:rtl w:val="0"/>
          <w:lang w:val="en-US"/>
        </w:rPr>
        <w:t xml:space="preserve">(a) The property appraiser shall first ascertain all other applicable exemptions, including exemptions provided pursuant to local option, and deduct all other exemptions from the assessed value. </w:t>
      </w:r>
    </w:p>
    <w:p>
      <w:pPr>
        <w:pStyle w:val="Normal,procedures"/>
        <w:tabs>
          <w:tab w:val="left" w:pos="7923"/>
        </w:tabs>
        <w:spacing w:before="120" w:after="60"/>
        <w:ind w:left="684" w:hanging="342"/>
        <w:rPr>
          <w:color w:val="000000"/>
          <w:u w:color="000000"/>
        </w:rPr>
      </w:pPr>
      <w:r>
        <w:rPr>
          <w:color w:val="000000"/>
          <w:u w:color="000000"/>
          <w:rtl w:val="0"/>
          <w:lang w:val="en-US"/>
        </w:rPr>
        <w:t xml:space="preserve">(b) The percentage discount portion of the remaining value which is attributable to service-connected disabilities shall be subtracted to yield the discounted taxable value. </w:t>
      </w:r>
    </w:p>
    <w:p>
      <w:pPr>
        <w:pStyle w:val="Normal,procedures"/>
        <w:tabs>
          <w:tab w:val="left" w:pos="7923"/>
        </w:tabs>
        <w:spacing w:before="120" w:after="60"/>
        <w:ind w:left="684" w:hanging="342"/>
        <w:rPr>
          <w:color w:val="000000"/>
          <w:u w:color="000000"/>
        </w:rPr>
      </w:pPr>
      <w:r>
        <w:rPr>
          <w:color w:val="000000"/>
          <w:u w:color="000000"/>
          <w:rtl w:val="0"/>
          <w:lang w:val="en-US"/>
        </w:rPr>
        <w:t xml:space="preserve">(c) The resulting taxable value shall be included in the certification for use by taxing authorities in setting millage. </w:t>
      </w:r>
    </w:p>
    <w:p>
      <w:pPr>
        <w:pStyle w:val="Normal,procedures"/>
        <w:tabs>
          <w:tab w:val="left" w:pos="7923"/>
        </w:tabs>
        <w:spacing w:before="120" w:after="60"/>
        <w:ind w:left="684" w:hanging="342"/>
      </w:pPr>
      <w:r>
        <w:rPr>
          <w:color w:val="000000"/>
          <w:u w:color="000000"/>
          <w:rtl w:val="0"/>
          <w:lang w:val="en-US"/>
        </w:rPr>
        <w:t>(d) The property appraiser shall place the discounted amount on the tax roll when it is extended.</w:t>
      </w:r>
    </w:p>
    <w:sectPr>
      <w:headerReference w:type="default" r:id="rId5"/>
      <w:footerReference w:type="default" r:id="rId6"/>
      <w:pgSz w:w="12240" w:h="15840" w:orient="portrait"/>
      <w:pgMar w:top="1008"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1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3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7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9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1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7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21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3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7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9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1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7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21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3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7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9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1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5" w:hanging="2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5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75" w:hanging="21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clear" w:pos="360"/>
        </w:tabs>
        <w:ind w:left="288" w:hanging="21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clear" w:pos="360"/>
        </w:tabs>
        <w:ind w:left="129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clear" w:pos="360"/>
        </w:tabs>
        <w:ind w:left="20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clear" w:pos="360"/>
        </w:tabs>
        <w:ind w:left="273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clear" w:pos="360"/>
        </w:tabs>
        <w:ind w:left="345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clear" w:pos="360"/>
        </w:tabs>
        <w:ind w:left="417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clear" w:pos="360"/>
        </w:tabs>
        <w:ind w:left="489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clear" w:pos="360"/>
        </w:tabs>
        <w:ind w:left="56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clear" w:pos="360"/>
        </w:tabs>
        <w:ind w:left="633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clear" w:pos="360"/>
        </w:tabs>
        <w:ind w:left="288" w:hanging="21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clear" w:pos="360"/>
        </w:tabs>
        <w:ind w:left="129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clear" w:pos="360"/>
        </w:tabs>
        <w:ind w:left="20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clear" w:pos="360"/>
        </w:tabs>
        <w:ind w:left="273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clear" w:pos="360"/>
        </w:tabs>
        <w:ind w:left="345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clear" w:pos="360"/>
        </w:tabs>
        <w:ind w:left="417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clear" w:pos="360"/>
        </w:tabs>
        <w:ind w:left="489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clear" w:pos="360"/>
        </w:tabs>
        <w:ind w:left="56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clear" w:pos="360"/>
        </w:tabs>
        <w:ind w:left="633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clear" w:pos="360"/>
        </w:tabs>
        <w:ind w:left="288" w:hanging="21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clear" w:pos="360"/>
        </w:tabs>
        <w:ind w:left="129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clear" w:pos="360"/>
        </w:tabs>
        <w:ind w:left="20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clear" w:pos="360"/>
        </w:tabs>
        <w:ind w:left="273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clear" w:pos="360"/>
        </w:tabs>
        <w:ind w:left="345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clear" w:pos="360"/>
        </w:tabs>
        <w:ind w:left="417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clear" w:pos="360"/>
        </w:tabs>
        <w:ind w:left="489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clear" w:pos="360"/>
        </w:tabs>
        <w:ind w:left="56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clear" w:pos="360"/>
        </w:tabs>
        <w:ind w:left="633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clear" w:pos="360"/>
        </w:tabs>
        <w:ind w:left="288" w:hanging="21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clear" w:pos="360"/>
        </w:tabs>
        <w:ind w:left="129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clear" w:pos="360"/>
        </w:tabs>
        <w:ind w:left="20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clear" w:pos="360"/>
        </w:tabs>
        <w:ind w:left="273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clear" w:pos="360"/>
        </w:tabs>
        <w:ind w:left="345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clear" w:pos="360"/>
        </w:tabs>
        <w:ind w:left="417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clear" w:pos="360"/>
        </w:tabs>
        <w:ind w:left="4896" w:hanging="50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clear" w:pos="360"/>
        </w:tabs>
        <w:ind w:left="561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clear" w:pos="360"/>
        </w:tabs>
        <w:ind w:left="6336" w:hanging="50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ullet">
    <w:name w:val="bullet"/>
    <w:next w:val="bullet"/>
    <w:pPr>
      <w:keepNext w:val="0"/>
      <w:keepLines w:val="0"/>
      <w:pageBreakBefore w:val="0"/>
      <w:widowControl w:val="1"/>
      <w:shd w:val="clear" w:color="auto" w:fill="auto"/>
      <w:tabs>
        <w:tab w:val="left" w:pos="360"/>
      </w:tabs>
      <w:suppressAutoHyphens w:val="0"/>
      <w:bidi w:val="0"/>
      <w:spacing w:before="0" w:after="0" w:line="240" w:lineRule="auto"/>
      <w:ind w:left="72" w:right="0" w:hanging="72"/>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